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3172"/>
        <w:gridCol w:w="3983"/>
      </w:tblGrid>
      <w:tr w:rsidR="006B31B3" w:rsidRPr="009179CD" w14:paraId="3BF1F70E" w14:textId="77777777" w:rsidTr="00D84B52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3B5FA7A2" w14:textId="1B6025A0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D84B52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14:paraId="5FAEB390" w14:textId="1548111F"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D84B52"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3983" w:type="dxa"/>
          </w:tcPr>
          <w:p w14:paraId="4C2B809D" w14:textId="0C44C083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D84B5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برق</w:t>
            </w:r>
          </w:p>
        </w:tc>
      </w:tr>
      <w:tr w:rsidR="000735E9" w:rsidRPr="009179CD" w14:paraId="18400ACC" w14:textId="77777777" w:rsidTr="00D84B52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C9F9CC4" w14:textId="65EEFAB9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D84B52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14:paraId="224DEC63" w14:textId="375F8145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D84B52">
              <w:rPr>
                <w:rFonts w:cs="B Zar" w:hint="cs"/>
                <w:sz w:val="24"/>
                <w:szCs w:val="24"/>
                <w:rtl/>
                <w:lang w:val="en-CA" w:bidi="fa-IR"/>
              </w:rPr>
              <w:t>پیشوایی</w:t>
            </w:r>
          </w:p>
        </w:tc>
        <w:tc>
          <w:tcPr>
            <w:tcW w:w="3983" w:type="dxa"/>
          </w:tcPr>
          <w:p w14:paraId="22725BFF" w14:textId="17FEC52E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D84B52">
              <w:rPr>
                <w:rFonts w:cs="B Zar" w:hint="cs"/>
                <w:sz w:val="24"/>
                <w:szCs w:val="24"/>
                <w:rtl/>
                <w:lang w:bidi="fa-IR"/>
              </w:rPr>
              <w:t>تحلیل سیستمهای انرژی</w:t>
            </w:r>
          </w:p>
        </w:tc>
      </w:tr>
      <w:tr w:rsidR="000735E9" w:rsidRPr="009179CD" w14:paraId="3032C554" w14:textId="77777777" w:rsidTr="00D84B52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5CECEDA" w14:textId="77777777" w:rsidR="00D84B52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23D97CF6" w14:textId="77777777" w:rsidR="00617B59" w:rsidRDefault="00D84B52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دوشنبه </w:t>
            </w:r>
            <w:r w:rsidR="00617B59"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</w:p>
          <w:p w14:paraId="6BEB00AF" w14:textId="218F48C3" w:rsidR="000735E9" w:rsidRPr="009179CD" w:rsidRDefault="00617B5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چ</w:t>
            </w:r>
            <w:r w:rsidR="00D84B52">
              <w:rPr>
                <w:rFonts w:cs="B Zar" w:hint="cs"/>
                <w:sz w:val="24"/>
                <w:szCs w:val="24"/>
                <w:rtl/>
                <w:lang w:val="en-CA" w:bidi="fa-IR"/>
              </w:rPr>
              <w:t>هارشنبه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9:15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14:paraId="31862BD7" w14:textId="7149B81A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BE675B">
              <w:rPr>
                <w:rFonts w:cs="B Zar" w:hint="cs"/>
                <w:sz w:val="24"/>
                <w:szCs w:val="24"/>
                <w:rtl/>
                <w:lang w:bidi="fa-IR"/>
              </w:rPr>
              <w:t>201-2</w:t>
            </w:r>
          </w:p>
        </w:tc>
        <w:tc>
          <w:tcPr>
            <w:tcW w:w="3983" w:type="dxa"/>
          </w:tcPr>
          <w:p w14:paraId="034CB119" w14:textId="10226269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E25903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ماشینهای الکتریکی 2</w:t>
            </w:r>
          </w:p>
        </w:tc>
      </w:tr>
      <w:tr w:rsidR="000735E9" w:rsidRPr="009179CD" w14:paraId="0516494F" w14:textId="77777777" w:rsidTr="00D84B52">
        <w:trPr>
          <w:trHeight w:val="418"/>
        </w:trPr>
        <w:tc>
          <w:tcPr>
            <w:tcW w:w="6115" w:type="dxa"/>
            <w:gridSpan w:val="2"/>
            <w:tcBorders>
              <w:left w:val="single" w:sz="4" w:space="0" w:color="auto"/>
            </w:tcBorders>
          </w:tcPr>
          <w:p w14:paraId="26C8F8AB" w14:textId="48362FCB" w:rsidR="000735E9" w:rsidRPr="009179CD" w:rsidRDefault="00617B5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mojtabapishvaei@yahoo.com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983" w:type="dxa"/>
          </w:tcPr>
          <w:p w14:paraId="06F877BD" w14:textId="7C277027"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617B59">
              <w:rPr>
                <w:rFonts w:cs="B Zar" w:hint="cs"/>
                <w:sz w:val="24"/>
                <w:szCs w:val="24"/>
                <w:rtl/>
                <w:lang w:val="en-CA" w:bidi="fa-IR"/>
              </w:rPr>
              <w:t>سه شنبه 17 تا 19</w:t>
            </w:r>
          </w:p>
        </w:tc>
      </w:tr>
      <w:tr w:rsidR="000735E9" w:rsidRPr="009179CD" w14:paraId="48564319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4306FF4A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7E7C9E6F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0DD6FF63" w14:textId="2DA946E6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617B59">
              <w:rPr>
                <w:rFonts w:cs="B Zar" w:hint="cs"/>
                <w:sz w:val="40"/>
                <w:szCs w:val="40"/>
                <w:rtl/>
                <w:lang w:bidi="fa-IR"/>
              </w:rPr>
              <w:t>*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617B59">
              <w:rPr>
                <w:rFonts w:cs="B Zar" w:hint="cs"/>
                <w:sz w:val="40"/>
                <w:szCs w:val="40"/>
                <w:rtl/>
                <w:lang w:bidi="fa-IR"/>
              </w:rPr>
              <w:t>*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0C104492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67235314" w14:textId="2CE9DB50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617B5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 نظری، آشنایی با نرم افزار</w:t>
            </w:r>
          </w:p>
          <w:p w14:paraId="51370F64" w14:textId="77777777"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14:paraId="70D81A8A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3058F2C5" w14:textId="77777777"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14:paraId="5F663D7E" w14:textId="0DCAD57C"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617B59">
              <w:rPr>
                <w:rFonts w:hint="cs"/>
                <w:sz w:val="40"/>
                <w:szCs w:val="40"/>
                <w:rtl/>
                <w:lang w:bidi="fa-IR"/>
              </w:rPr>
              <w:t>*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617B59">
              <w:rPr>
                <w:rFonts w:hint="cs"/>
                <w:sz w:val="40"/>
                <w:szCs w:val="40"/>
                <w:rtl/>
                <w:lang w:bidi="fa-IR"/>
              </w:rPr>
              <w:t>*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7051E103" w14:textId="77777777"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103232EB" w14:textId="41160018"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  <w:r w:rsidR="00617B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نمایش اسلاید</w:t>
            </w:r>
          </w:p>
        </w:tc>
      </w:tr>
      <w:tr w:rsidR="000735E9" w:rsidRPr="009179CD" w14:paraId="7C1AA6EB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F10AD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3940EE6D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7EAF9017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3037BAFE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650D66D5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4E2EDAEF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7691EFB1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57A55694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7CF76093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3C4F3E5B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0B078B5D" w14:textId="261ACCCD" w:rsidR="003C4C14" w:rsidRDefault="00617B5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47" w:type="dxa"/>
                </w:tcPr>
                <w:p w14:paraId="3B7A385E" w14:textId="49ADA835" w:rsidR="003C4C14" w:rsidRDefault="00617B5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23" w:type="dxa"/>
                </w:tcPr>
                <w:p w14:paraId="5AD12FDC" w14:textId="3BC32D4D" w:rsidR="003C4C14" w:rsidRDefault="00617B5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284" w:type="dxa"/>
                </w:tcPr>
                <w:p w14:paraId="2625F03A" w14:textId="040E82F9" w:rsidR="003C4C14" w:rsidRDefault="00617B5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604" w:type="dxa"/>
                </w:tcPr>
                <w:p w14:paraId="187DAABA" w14:textId="77777777"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14:paraId="280B6A41" w14:textId="77777777"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8F7FA6E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4717EE38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58277A4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965"/>
        <w:gridCol w:w="5008"/>
        <w:gridCol w:w="1272"/>
      </w:tblGrid>
      <w:tr w:rsidR="00A46D64" w:rsidRPr="009179CD" w14:paraId="39F15648" w14:textId="77777777" w:rsidTr="00E25903">
        <w:trPr>
          <w:trHeight w:val="567"/>
        </w:trPr>
        <w:tc>
          <w:tcPr>
            <w:tcW w:w="2965" w:type="dxa"/>
            <w:vAlign w:val="center"/>
          </w:tcPr>
          <w:p w14:paraId="1934823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5008" w:type="dxa"/>
            <w:vAlign w:val="center"/>
          </w:tcPr>
          <w:p w14:paraId="0E73E481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0F11D3A7" w14:textId="163F77FA" w:rsidR="00A46D64" w:rsidRPr="009179CD" w:rsidRDefault="00617B59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</w:tr>
      <w:tr w:rsidR="00A46D64" w:rsidRPr="009179CD" w14:paraId="7A808466" w14:textId="77777777" w:rsidTr="00E25903">
        <w:trPr>
          <w:trHeight w:val="567"/>
        </w:trPr>
        <w:tc>
          <w:tcPr>
            <w:tcW w:w="2965" w:type="dxa"/>
            <w:vAlign w:val="center"/>
          </w:tcPr>
          <w:p w14:paraId="7A87CCDD" w14:textId="245E45A2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  <w:vAlign w:val="center"/>
          </w:tcPr>
          <w:p w14:paraId="46CB29C7" w14:textId="46FC1C59" w:rsidR="00A46D64" w:rsidRPr="009179CD" w:rsidRDefault="00E25903" w:rsidP="00A46D64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</w:t>
            </w:r>
            <w:r w:rsidR="008A0E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درس، مباحث</w:t>
            </w:r>
            <w:r w:rsidR="00AF21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مبانی</w:t>
            </w:r>
            <w:r w:rsidR="00AF21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مراجع</w:t>
            </w:r>
          </w:p>
        </w:tc>
        <w:tc>
          <w:tcPr>
            <w:tcW w:w="1272" w:type="dxa"/>
            <w:vAlign w:val="center"/>
          </w:tcPr>
          <w:p w14:paraId="7B0E9BEB" w14:textId="76EE806F" w:rsidR="00A46D64" w:rsidRPr="009179CD" w:rsidRDefault="00423286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14:paraId="71EDF64D" w14:textId="77777777" w:rsidTr="00E25903">
        <w:trPr>
          <w:trHeight w:val="567"/>
        </w:trPr>
        <w:tc>
          <w:tcPr>
            <w:tcW w:w="2965" w:type="dxa"/>
          </w:tcPr>
          <w:p w14:paraId="2F642AFA" w14:textId="1B8EE7CF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</w:tcPr>
          <w:p w14:paraId="30D17E48" w14:textId="346C769A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مفهوم توان در سیستم </w:t>
            </w:r>
            <w:r>
              <w:rPr>
                <w:rFonts w:cs="B Zar"/>
                <w:sz w:val="24"/>
                <w:szCs w:val="24"/>
              </w:rPr>
              <w:t>AC</w:t>
            </w:r>
          </w:p>
        </w:tc>
        <w:tc>
          <w:tcPr>
            <w:tcW w:w="1272" w:type="dxa"/>
          </w:tcPr>
          <w:p w14:paraId="6FE6523E" w14:textId="36C20E99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14:paraId="40C73AD5" w14:textId="77777777" w:rsidTr="00E25903">
        <w:trPr>
          <w:trHeight w:val="567"/>
        </w:trPr>
        <w:tc>
          <w:tcPr>
            <w:tcW w:w="2965" w:type="dxa"/>
          </w:tcPr>
          <w:p w14:paraId="510EE9D3" w14:textId="6CDC5580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</w:tcPr>
          <w:p w14:paraId="442D1540" w14:textId="58EBCB28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 سه فاز، اصلاح ضریب توان</w:t>
            </w:r>
          </w:p>
        </w:tc>
        <w:tc>
          <w:tcPr>
            <w:tcW w:w="1272" w:type="dxa"/>
          </w:tcPr>
          <w:p w14:paraId="10950AAD" w14:textId="4DB6C931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14:paraId="53BCB88F" w14:textId="77777777" w:rsidTr="00E25903">
        <w:trPr>
          <w:trHeight w:val="567"/>
        </w:trPr>
        <w:tc>
          <w:tcPr>
            <w:tcW w:w="2965" w:type="dxa"/>
          </w:tcPr>
          <w:p w14:paraId="3628C8C2" w14:textId="7F174801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</w:tcPr>
          <w:p w14:paraId="55AA89F9" w14:textId="24B9B024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 ماشین سنکرون قطب صاف و قطب برجسته</w:t>
            </w:r>
          </w:p>
        </w:tc>
        <w:tc>
          <w:tcPr>
            <w:tcW w:w="1272" w:type="dxa"/>
          </w:tcPr>
          <w:p w14:paraId="0A7C0AF3" w14:textId="78512CD2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14:paraId="62E2BED7" w14:textId="77777777" w:rsidTr="00E25903">
        <w:trPr>
          <w:trHeight w:val="567"/>
        </w:trPr>
        <w:tc>
          <w:tcPr>
            <w:tcW w:w="2965" w:type="dxa"/>
          </w:tcPr>
          <w:p w14:paraId="0A012D34" w14:textId="3B323FBB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6A2FE2E7" w14:textId="64C55181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عملکرد ژنراتور سنکرون در شبکه</w:t>
            </w:r>
          </w:p>
        </w:tc>
        <w:tc>
          <w:tcPr>
            <w:tcW w:w="1272" w:type="dxa"/>
          </w:tcPr>
          <w:p w14:paraId="4A20AEE7" w14:textId="5D317431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14:paraId="3FCD0836" w14:textId="77777777" w:rsidTr="00E25903">
        <w:trPr>
          <w:trHeight w:val="567"/>
        </w:trPr>
        <w:tc>
          <w:tcPr>
            <w:tcW w:w="2965" w:type="dxa"/>
          </w:tcPr>
          <w:p w14:paraId="2FC01FAA" w14:textId="11C3BC08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788B8343" w14:textId="492807A5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 و عملکرد ترانسفورماتور، ترانس تکفاز</w:t>
            </w:r>
          </w:p>
        </w:tc>
        <w:tc>
          <w:tcPr>
            <w:tcW w:w="1272" w:type="dxa"/>
          </w:tcPr>
          <w:p w14:paraId="1B379E9F" w14:textId="4D435809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14:paraId="7A646555" w14:textId="77777777" w:rsidTr="00E25903">
        <w:trPr>
          <w:trHeight w:val="567"/>
        </w:trPr>
        <w:tc>
          <w:tcPr>
            <w:tcW w:w="2965" w:type="dxa"/>
          </w:tcPr>
          <w:p w14:paraId="37C0E047" w14:textId="47888738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</w:tcPr>
          <w:p w14:paraId="7D68C367" w14:textId="45EEFE4F" w:rsidR="00A46D64" w:rsidRPr="009179CD" w:rsidRDefault="00AF21EC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ترانس سه فاز، ترانس رگولاتور، سیستم پریونیت</w:t>
            </w:r>
          </w:p>
        </w:tc>
        <w:tc>
          <w:tcPr>
            <w:tcW w:w="1272" w:type="dxa"/>
          </w:tcPr>
          <w:p w14:paraId="371D4ECA" w14:textId="2B95421D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14:paraId="727F4AA8" w14:textId="77777777" w:rsidTr="00E25903">
        <w:trPr>
          <w:trHeight w:val="567"/>
        </w:trPr>
        <w:tc>
          <w:tcPr>
            <w:tcW w:w="2965" w:type="dxa"/>
          </w:tcPr>
          <w:p w14:paraId="789078CB" w14:textId="5BB84523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5976FAF5" w14:textId="530C071F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پارامترهای خط انتقال</w:t>
            </w:r>
          </w:p>
        </w:tc>
        <w:tc>
          <w:tcPr>
            <w:tcW w:w="1272" w:type="dxa"/>
          </w:tcPr>
          <w:p w14:paraId="4486628B" w14:textId="18161B25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14:paraId="51D9753D" w14:textId="77777777" w:rsidTr="00E25903">
        <w:trPr>
          <w:trHeight w:val="567"/>
        </w:trPr>
        <w:tc>
          <w:tcPr>
            <w:tcW w:w="2965" w:type="dxa"/>
          </w:tcPr>
          <w:p w14:paraId="185FF8E8" w14:textId="474128BB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34DCA915" w14:textId="5D315C88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پارامترهای خط انتقال( ادامه)</w:t>
            </w:r>
          </w:p>
        </w:tc>
        <w:tc>
          <w:tcPr>
            <w:tcW w:w="1272" w:type="dxa"/>
          </w:tcPr>
          <w:p w14:paraId="104F6B71" w14:textId="231C0E4B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14:paraId="535A6666" w14:textId="77777777" w:rsidTr="00E25903">
        <w:trPr>
          <w:trHeight w:val="567"/>
        </w:trPr>
        <w:tc>
          <w:tcPr>
            <w:tcW w:w="2965" w:type="dxa"/>
          </w:tcPr>
          <w:p w14:paraId="1E737EED" w14:textId="29C45FAF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4FD914CD" w14:textId="11B3ED98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 و عملکرد خط انتقال کوتاه و متوسط</w:t>
            </w:r>
          </w:p>
        </w:tc>
        <w:tc>
          <w:tcPr>
            <w:tcW w:w="1272" w:type="dxa"/>
          </w:tcPr>
          <w:p w14:paraId="55FFD9FB" w14:textId="3DD70AD7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14:paraId="328AEB7C" w14:textId="77777777" w:rsidTr="00E25903">
        <w:trPr>
          <w:trHeight w:val="567"/>
        </w:trPr>
        <w:tc>
          <w:tcPr>
            <w:tcW w:w="2965" w:type="dxa"/>
          </w:tcPr>
          <w:p w14:paraId="4E172654" w14:textId="6D977691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69264519" w14:textId="0D8D5B43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مدل و عملکرد خط انتقال </w:t>
            </w:r>
            <w:r>
              <w:rPr>
                <w:rFonts w:cs="B Zar" w:hint="cs"/>
                <w:sz w:val="24"/>
                <w:szCs w:val="24"/>
                <w:rtl/>
              </w:rPr>
              <w:t>بلند، جبرانسازی خط بلند</w:t>
            </w:r>
          </w:p>
        </w:tc>
        <w:tc>
          <w:tcPr>
            <w:tcW w:w="1272" w:type="dxa"/>
          </w:tcPr>
          <w:p w14:paraId="7C35AF16" w14:textId="6FD96D65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14:paraId="3517ED3D" w14:textId="77777777" w:rsidTr="00E25903">
        <w:trPr>
          <w:trHeight w:val="567"/>
        </w:trPr>
        <w:tc>
          <w:tcPr>
            <w:tcW w:w="2965" w:type="dxa"/>
          </w:tcPr>
          <w:p w14:paraId="1678BDB4" w14:textId="5F55B55D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5008" w:type="dxa"/>
          </w:tcPr>
          <w:p w14:paraId="31126B13" w14:textId="3825C738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 بار ، تشکیل ماتریس ادمیتانس شبکه</w:t>
            </w:r>
          </w:p>
        </w:tc>
        <w:tc>
          <w:tcPr>
            <w:tcW w:w="1272" w:type="dxa"/>
          </w:tcPr>
          <w:p w14:paraId="2AA272B9" w14:textId="4B5E150B" w:rsidR="00A46D64" w:rsidRPr="009179CD" w:rsidRDefault="0042328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14:paraId="70ADF660" w14:textId="77777777" w:rsidTr="00E25903">
        <w:trPr>
          <w:trHeight w:val="567"/>
        </w:trPr>
        <w:tc>
          <w:tcPr>
            <w:tcW w:w="2965" w:type="dxa"/>
          </w:tcPr>
          <w:p w14:paraId="71F50251" w14:textId="761B9F4D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008" w:type="dxa"/>
          </w:tcPr>
          <w:p w14:paraId="5F66D05D" w14:textId="2218B2F4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دیاگرمهای تک خطی و رآکتانسی شبکه</w:t>
            </w:r>
          </w:p>
        </w:tc>
        <w:tc>
          <w:tcPr>
            <w:tcW w:w="1272" w:type="dxa"/>
          </w:tcPr>
          <w:p w14:paraId="06547234" w14:textId="6237CB19" w:rsidR="00A46D64" w:rsidRPr="009179CD" w:rsidRDefault="00423286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14:paraId="67509155" w14:textId="77777777" w:rsidTr="00E25903">
        <w:trPr>
          <w:trHeight w:val="567"/>
        </w:trPr>
        <w:tc>
          <w:tcPr>
            <w:tcW w:w="2965" w:type="dxa"/>
          </w:tcPr>
          <w:p w14:paraId="5CD1B7A3" w14:textId="1CBB4A1B" w:rsidR="00A46D64" w:rsidRPr="009179CD" w:rsidRDefault="00E25903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08" w:type="dxa"/>
          </w:tcPr>
          <w:p w14:paraId="747EBE4E" w14:textId="336BFB5A" w:rsidR="00A46D64" w:rsidRPr="009179CD" w:rsidRDefault="00141D7E" w:rsidP="00E259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پخش بار به روش گاوس سایدل</w:t>
            </w:r>
          </w:p>
        </w:tc>
        <w:tc>
          <w:tcPr>
            <w:tcW w:w="1272" w:type="dxa"/>
          </w:tcPr>
          <w:p w14:paraId="3D57AB39" w14:textId="2DF5A20F" w:rsidR="00A46D64" w:rsidRPr="009179CD" w:rsidRDefault="00423286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14:paraId="7917D3E3" w14:textId="77777777" w:rsidTr="00E25903">
        <w:trPr>
          <w:trHeight w:val="567"/>
        </w:trPr>
        <w:tc>
          <w:tcPr>
            <w:tcW w:w="2965" w:type="dxa"/>
          </w:tcPr>
          <w:p w14:paraId="18E44BBD" w14:textId="5816AE78" w:rsidR="00A46D64" w:rsidRPr="009179CD" w:rsidRDefault="00E25903" w:rsidP="00E2590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093A4DAE" w14:textId="3F94CAD6" w:rsidR="00A46D64" w:rsidRPr="009179CD" w:rsidRDefault="00141D7E" w:rsidP="00E2590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پخش بار به روش نیوتون رافسون</w:t>
            </w:r>
          </w:p>
        </w:tc>
        <w:tc>
          <w:tcPr>
            <w:tcW w:w="1272" w:type="dxa"/>
          </w:tcPr>
          <w:p w14:paraId="1CC2D2A5" w14:textId="76B81278" w:rsidR="00A46D64" w:rsidRPr="009179CD" w:rsidRDefault="00423286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14:paraId="65A99E0D" w14:textId="77777777" w:rsidTr="00E25903">
        <w:trPr>
          <w:trHeight w:val="567"/>
        </w:trPr>
        <w:tc>
          <w:tcPr>
            <w:tcW w:w="2965" w:type="dxa"/>
          </w:tcPr>
          <w:p w14:paraId="2228A467" w14:textId="7930286D" w:rsidR="00A46D64" w:rsidRPr="009179CD" w:rsidRDefault="00E25903" w:rsidP="00E2590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</w:tcPr>
          <w:p w14:paraId="0C37BD7E" w14:textId="16586E7C" w:rsidR="00A46D64" w:rsidRPr="009179CD" w:rsidRDefault="00141D7E" w:rsidP="00E2590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پخش بار به روش مجزای سریع</w:t>
            </w:r>
          </w:p>
        </w:tc>
        <w:tc>
          <w:tcPr>
            <w:tcW w:w="1272" w:type="dxa"/>
          </w:tcPr>
          <w:p w14:paraId="516D357B" w14:textId="18733560" w:rsidR="00A46D64" w:rsidRPr="009179CD" w:rsidRDefault="00423286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72147EB" w14:textId="77777777"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12D0CB21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8D64A7F" w14:textId="77777777" w:rsidTr="003822FD">
        <w:tc>
          <w:tcPr>
            <w:tcW w:w="9019" w:type="dxa"/>
          </w:tcPr>
          <w:p w14:paraId="6F0D72C6" w14:textId="16D36E5B" w:rsidR="00F06D2D" w:rsidRDefault="00F06D2D" w:rsidP="00F06D2D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483D61AA" w14:textId="2F5B30B7" w:rsidR="00423286" w:rsidRDefault="00423286" w:rsidP="00423286">
            <w:pPr>
              <w:pStyle w:val="ListParagraph"/>
              <w:numPr>
                <w:ilvl w:val="0"/>
                <w:numId w:val="5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بررسی سیستمهای قدرت، جلد 1، دکتر هادی سعادت،  انتشارات دانشگاه علم و صنعت</w:t>
            </w:r>
          </w:p>
          <w:p w14:paraId="5868A7DC" w14:textId="74B3FE56" w:rsidR="00423286" w:rsidRPr="00423286" w:rsidRDefault="008A0EAF" w:rsidP="00423286">
            <w:pPr>
              <w:pStyle w:val="ListParagraph"/>
              <w:numPr>
                <w:ilvl w:val="0"/>
                <w:numId w:val="5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W.</w:t>
            </w:r>
            <w:proofErr w:type="gramStart"/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D.Stevenson</w:t>
            </w:r>
            <w:proofErr w:type="spellEnd"/>
            <w:proofErr w:type="gramEnd"/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, Power system analysis. McGraw-Hill, 1995</w:t>
            </w:r>
          </w:p>
          <w:p w14:paraId="71F90233" w14:textId="77777777"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4FF4E099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00592E2B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7FE5" w14:textId="77777777" w:rsidR="008D7982" w:rsidRDefault="008D7982" w:rsidP="0080524D">
      <w:pPr>
        <w:spacing w:after="0" w:line="240" w:lineRule="auto"/>
      </w:pPr>
      <w:r>
        <w:separator/>
      </w:r>
    </w:p>
  </w:endnote>
  <w:endnote w:type="continuationSeparator" w:id="0">
    <w:p w14:paraId="29EBD4C7" w14:textId="77777777" w:rsidR="008D7982" w:rsidRDefault="008D7982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57836"/>
      <w:docPartObj>
        <w:docPartGallery w:val="Page Numbers (Bottom of Page)"/>
        <w:docPartUnique/>
      </w:docPartObj>
    </w:sdtPr>
    <w:sdtContent>
      <w:p w14:paraId="10266FC7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63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AD2DA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EA1F" w14:textId="77777777" w:rsidR="008D7982" w:rsidRDefault="008D7982" w:rsidP="0080524D">
      <w:pPr>
        <w:spacing w:after="0" w:line="240" w:lineRule="auto"/>
      </w:pPr>
      <w:r>
        <w:separator/>
      </w:r>
    </w:p>
  </w:footnote>
  <w:footnote w:type="continuationSeparator" w:id="0">
    <w:p w14:paraId="09D8761E" w14:textId="77777777" w:rsidR="008D7982" w:rsidRDefault="008D7982" w:rsidP="0080524D">
      <w:pPr>
        <w:spacing w:after="0" w:line="240" w:lineRule="auto"/>
      </w:pPr>
      <w:r>
        <w:continuationSeparator/>
      </w:r>
    </w:p>
  </w:footnote>
  <w:footnote w:id="1">
    <w:p w14:paraId="155F9F6F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4E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7704F"/>
    <w:multiLevelType w:val="hybridMultilevel"/>
    <w:tmpl w:val="E4C059A2"/>
    <w:lvl w:ilvl="0" w:tplc="68ACF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18314">
    <w:abstractNumId w:val="2"/>
  </w:num>
  <w:num w:numId="2" w16cid:durableId="1145585921">
    <w:abstractNumId w:val="3"/>
  </w:num>
  <w:num w:numId="3" w16cid:durableId="1040592692">
    <w:abstractNumId w:val="0"/>
  </w:num>
  <w:num w:numId="4" w16cid:durableId="463355275">
    <w:abstractNumId w:val="1"/>
  </w:num>
  <w:num w:numId="5" w16cid:durableId="32736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41D7E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23286"/>
    <w:rsid w:val="004453E4"/>
    <w:rsid w:val="004E4810"/>
    <w:rsid w:val="00572A3F"/>
    <w:rsid w:val="005C065E"/>
    <w:rsid w:val="005D004B"/>
    <w:rsid w:val="005F7D81"/>
    <w:rsid w:val="00617B59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8A0EAF"/>
    <w:rsid w:val="008D7982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AF21EC"/>
    <w:rsid w:val="00B60627"/>
    <w:rsid w:val="00B95C76"/>
    <w:rsid w:val="00BA21F1"/>
    <w:rsid w:val="00BB3EDB"/>
    <w:rsid w:val="00BE675B"/>
    <w:rsid w:val="00C154E5"/>
    <w:rsid w:val="00C36CFB"/>
    <w:rsid w:val="00CE0F33"/>
    <w:rsid w:val="00D16384"/>
    <w:rsid w:val="00D43662"/>
    <w:rsid w:val="00D73E21"/>
    <w:rsid w:val="00D84B52"/>
    <w:rsid w:val="00E25903"/>
    <w:rsid w:val="00E5457A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6F95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19F-9ABB-471F-8E2E-04FD663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Mojtaba Pishvaei</cp:lastModifiedBy>
  <cp:revision>2</cp:revision>
  <cp:lastPrinted>2019-09-08T05:07:00Z</cp:lastPrinted>
  <dcterms:created xsi:type="dcterms:W3CDTF">2022-09-05T08:08:00Z</dcterms:created>
  <dcterms:modified xsi:type="dcterms:W3CDTF">2022-09-05T08:08:00Z</dcterms:modified>
</cp:coreProperties>
</file>